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0B24" w14:textId="77777777" w:rsidR="0027259F" w:rsidRPr="009416C4" w:rsidRDefault="00D24A03" w:rsidP="0027259F">
      <w:pPr>
        <w:rPr>
          <w:b/>
          <w:sz w:val="28"/>
          <w:szCs w:val="28"/>
          <w:lang w:val="da-DK"/>
        </w:rPr>
      </w:pPr>
      <w:proofErr w:type="spellStart"/>
      <w:r>
        <w:rPr>
          <w:b/>
          <w:sz w:val="28"/>
          <w:szCs w:val="28"/>
          <w:lang w:val="da-DK"/>
        </w:rPr>
        <w:t>Nudging</w:t>
      </w:r>
      <w:proofErr w:type="spellEnd"/>
      <w:r>
        <w:rPr>
          <w:b/>
          <w:sz w:val="28"/>
          <w:szCs w:val="28"/>
          <w:lang w:val="da-DK"/>
        </w:rPr>
        <w:t xml:space="preserve"> og adfærdsregulerende design</w:t>
      </w:r>
      <w:bookmarkStart w:id="0" w:name="_GoBack"/>
      <w:bookmarkEnd w:id="0"/>
      <w:r w:rsidR="00C045DC">
        <w:rPr>
          <w:b/>
          <w:sz w:val="28"/>
          <w:szCs w:val="28"/>
          <w:lang w:val="da-DK"/>
        </w:rPr>
        <w:br/>
        <w:t>Seminar 2</w:t>
      </w:r>
    </w:p>
    <w:p w14:paraId="68B536A6" w14:textId="77777777" w:rsidR="0027259F" w:rsidRDefault="00C045DC" w:rsidP="0027259F">
      <w:pPr>
        <w:rPr>
          <w:lang w:val="da-DK"/>
        </w:rPr>
      </w:pPr>
      <w:r>
        <w:rPr>
          <w:lang w:val="da-DK"/>
        </w:rPr>
        <w:t xml:space="preserve">15 deltagere – oplæg fra Lars Forsberg, IWI og Anette Heidi </w:t>
      </w:r>
      <w:proofErr w:type="spellStart"/>
      <w:r>
        <w:rPr>
          <w:lang w:val="da-DK"/>
        </w:rPr>
        <w:t>Sebök</w:t>
      </w:r>
      <w:proofErr w:type="spellEnd"/>
      <w:r>
        <w:rPr>
          <w:lang w:val="da-DK"/>
        </w:rPr>
        <w:t>, Rambøll</w:t>
      </w:r>
    </w:p>
    <w:p w14:paraId="0AFE5E97" w14:textId="77777777" w:rsidR="0027259F" w:rsidRPr="009416C4" w:rsidRDefault="00C045DC" w:rsidP="0027259F">
      <w:pPr>
        <w:rPr>
          <w:b/>
          <w:lang w:val="da-DK"/>
        </w:rPr>
      </w:pPr>
      <w:r>
        <w:rPr>
          <w:b/>
          <w:lang w:val="da-DK"/>
        </w:rPr>
        <w:t>Opsummering</w:t>
      </w:r>
      <w:r w:rsidR="0027259F" w:rsidRPr="009416C4">
        <w:rPr>
          <w:b/>
          <w:lang w:val="da-DK"/>
        </w:rPr>
        <w:t xml:space="preserve"> </w:t>
      </w:r>
    </w:p>
    <w:p w14:paraId="5B7F89FD" w14:textId="77777777" w:rsidR="0027259F" w:rsidRPr="00C045DC" w:rsidRDefault="00C045DC" w:rsidP="0027259F">
      <w:pPr>
        <w:rPr>
          <w:lang w:val="da-DK"/>
        </w:rPr>
      </w:pPr>
      <w:r w:rsidRPr="00C045DC">
        <w:rPr>
          <w:lang w:val="da-DK"/>
        </w:rPr>
        <w:t xml:space="preserve">Formålet med workshoppen var at illustrere og diskutere hvorledes </w:t>
      </w:r>
      <w:proofErr w:type="spellStart"/>
      <w:r w:rsidRPr="00C045DC">
        <w:rPr>
          <w:lang w:val="da-DK"/>
        </w:rPr>
        <w:t>nudging</w:t>
      </w:r>
      <w:proofErr w:type="spellEnd"/>
      <w:r w:rsidRPr="00C045DC">
        <w:rPr>
          <w:lang w:val="da-DK"/>
        </w:rPr>
        <w:t xml:space="preserve"> kan benyttes </w:t>
      </w:r>
      <w:proofErr w:type="spellStart"/>
      <w:r w:rsidRPr="00C045DC">
        <w:rPr>
          <w:lang w:val="da-DK"/>
        </w:rPr>
        <w:t>ifm</w:t>
      </w:r>
      <w:proofErr w:type="spellEnd"/>
      <w:r w:rsidRPr="00C045DC">
        <w:rPr>
          <w:lang w:val="da-DK"/>
        </w:rPr>
        <w:t xml:space="preserve">. at understøtte fx håndhygiejne samt at vise eksempler på hvordan man til </w:t>
      </w:r>
      <w:proofErr w:type="spellStart"/>
      <w:r w:rsidRPr="00C045DC">
        <w:rPr>
          <w:lang w:val="da-DK"/>
        </w:rPr>
        <w:t>pharmaindustrien</w:t>
      </w:r>
      <w:proofErr w:type="spellEnd"/>
      <w:r w:rsidRPr="00C045DC">
        <w:rPr>
          <w:lang w:val="da-DK"/>
        </w:rPr>
        <w:t xml:space="preserve"> arbejder med adfærdsregulerende design fx </w:t>
      </w:r>
      <w:proofErr w:type="spellStart"/>
      <w:r w:rsidRPr="00C045DC">
        <w:rPr>
          <w:lang w:val="da-DK"/>
        </w:rPr>
        <w:t>ifm</w:t>
      </w:r>
      <w:proofErr w:type="spellEnd"/>
      <w:r w:rsidRPr="00C045DC">
        <w:rPr>
          <w:lang w:val="da-DK"/>
        </w:rPr>
        <w:t>. at understøtte omklædningsprocedurer i kontrollerede miljøer.</w:t>
      </w:r>
    </w:p>
    <w:p w14:paraId="46DDA586" w14:textId="77777777" w:rsidR="00C045DC" w:rsidRPr="00C045DC" w:rsidRDefault="00C045DC" w:rsidP="00C045DC">
      <w:pPr>
        <w:rPr>
          <w:lang w:val="da-DK"/>
        </w:rPr>
      </w:pPr>
      <w:r w:rsidRPr="00C045DC">
        <w:rPr>
          <w:lang w:val="da-DK"/>
        </w:rPr>
        <w:t xml:space="preserve">Debatten kom indledningsvist til at handle om </w:t>
      </w:r>
      <w:proofErr w:type="spellStart"/>
      <w:r w:rsidRPr="00C045DC">
        <w:rPr>
          <w:lang w:val="da-DK"/>
        </w:rPr>
        <w:t>nudging</w:t>
      </w:r>
      <w:proofErr w:type="spellEnd"/>
      <w:r w:rsidRPr="00C045DC">
        <w:rPr>
          <w:lang w:val="da-DK"/>
        </w:rPr>
        <w:t xml:space="preserve">. Bl.a. blev det diskuteret om </w:t>
      </w:r>
      <w:proofErr w:type="spellStart"/>
      <w:r w:rsidRPr="00C045DC">
        <w:rPr>
          <w:lang w:val="da-DK"/>
        </w:rPr>
        <w:t>nudging</w:t>
      </w:r>
      <w:proofErr w:type="spellEnd"/>
      <w:r w:rsidRPr="00C045DC">
        <w:rPr>
          <w:lang w:val="da-DK"/>
        </w:rPr>
        <w:t xml:space="preserve"> har en permanent effekt eller om teknologien hurtigt kommer til at ”overleve sig selv”. </w:t>
      </w:r>
      <w:r>
        <w:rPr>
          <w:lang w:val="da-DK"/>
        </w:rPr>
        <w:br/>
      </w:r>
      <w:r>
        <w:rPr>
          <w:lang w:val="da-DK"/>
        </w:rPr>
        <w:br/>
      </w:r>
      <w:r w:rsidRPr="00C045DC">
        <w:rPr>
          <w:lang w:val="da-DK"/>
        </w:rPr>
        <w:t>Spørgsmålet var: ”kommer det til at ha’ en virkning i længden” eller kræves der i højere grad en indsats for at ændre kultur og forståelse for vigtigheden af</w:t>
      </w:r>
      <w:r>
        <w:rPr>
          <w:lang w:val="da-DK"/>
        </w:rPr>
        <w:t xml:space="preserve"> et bevidst højt hygiejneniveau?</w:t>
      </w:r>
    </w:p>
    <w:p w14:paraId="4023CDC3" w14:textId="77777777" w:rsidR="00C045DC" w:rsidRPr="00C045DC" w:rsidRDefault="00C045DC" w:rsidP="00C045DC">
      <w:pPr>
        <w:rPr>
          <w:lang w:val="da-DK"/>
        </w:rPr>
      </w:pPr>
      <w:r w:rsidRPr="00C045DC">
        <w:rPr>
          <w:i/>
          <w:lang w:val="da-DK"/>
        </w:rPr>
        <w:t>Ejerskab</w:t>
      </w:r>
      <w:r>
        <w:rPr>
          <w:lang w:val="da-DK"/>
        </w:rPr>
        <w:br/>
      </w:r>
      <w:r w:rsidRPr="00C045DC">
        <w:rPr>
          <w:lang w:val="da-DK"/>
        </w:rPr>
        <w:t xml:space="preserve">Således blev det </w:t>
      </w:r>
      <w:r>
        <w:rPr>
          <w:lang w:val="da-DK"/>
        </w:rPr>
        <w:t>videre debatteret hvordan man få</w:t>
      </w:r>
      <w:r w:rsidRPr="00C045DC">
        <w:rPr>
          <w:lang w:val="da-DK"/>
        </w:rPr>
        <w:t>r folk til at tage ejerskab af og ansvar for egne handlinger og samtidig indgå i de fælles mål og succeskriterier.</w:t>
      </w:r>
    </w:p>
    <w:p w14:paraId="389981A4" w14:textId="77777777" w:rsidR="00C045DC" w:rsidRPr="00C045DC" w:rsidRDefault="00C045DC" w:rsidP="00C045DC">
      <w:pPr>
        <w:rPr>
          <w:lang w:val="da-DK"/>
        </w:rPr>
      </w:pPr>
      <w:r w:rsidRPr="00C045DC">
        <w:rPr>
          <w:lang w:val="da-DK"/>
        </w:rPr>
        <w:t>Som eksempel blev det nævnt at der var gode eksempler fra skoler hvor eleverne selv havde opsyn med toilethygiejnen og derved positivt påvirkede til en fælles kulturændring omkring brugen af skoletoiletterne.</w:t>
      </w:r>
    </w:p>
    <w:p w14:paraId="740F3536" w14:textId="77777777" w:rsidR="00C045DC" w:rsidRPr="00C045DC" w:rsidRDefault="00C045DC" w:rsidP="00C045DC">
      <w:pPr>
        <w:rPr>
          <w:lang w:val="da-DK"/>
        </w:rPr>
      </w:pPr>
      <w:r w:rsidRPr="00C045DC">
        <w:rPr>
          <w:lang w:val="da-DK"/>
        </w:rPr>
        <w:t>Det blev beskrevet at man ved hjælp af de rigtige materialer og designløsninger kunne hjælpe med at understøtte drift og vedligeholdelse og herunder rengøring.</w:t>
      </w:r>
    </w:p>
    <w:p w14:paraId="06794125" w14:textId="77777777" w:rsidR="00C045DC" w:rsidRPr="00C045DC" w:rsidRDefault="00C045DC" w:rsidP="00C045DC">
      <w:pPr>
        <w:rPr>
          <w:lang w:val="da-DK"/>
        </w:rPr>
      </w:pPr>
      <w:r w:rsidRPr="00C045DC">
        <w:rPr>
          <w:lang w:val="da-DK"/>
        </w:rPr>
        <w:t>Der var en kommentar omkring at man ikke kan designe sig ud af alle problemer.</w:t>
      </w:r>
    </w:p>
    <w:p w14:paraId="74C4EAE6" w14:textId="77777777" w:rsidR="00C045DC" w:rsidRPr="00C045DC" w:rsidRDefault="00C045DC" w:rsidP="00C045DC">
      <w:pPr>
        <w:rPr>
          <w:lang w:val="da-DK"/>
        </w:rPr>
      </w:pPr>
      <w:r w:rsidRPr="00C045DC">
        <w:rPr>
          <w:lang w:val="da-DK"/>
        </w:rPr>
        <w:t>Det er vigtigt at driftsomkostningerne prioriteres herunder fx udgifter til rengøring.</w:t>
      </w:r>
      <w:r>
        <w:rPr>
          <w:lang w:val="da-DK"/>
        </w:rPr>
        <w:br/>
      </w:r>
      <w:r>
        <w:rPr>
          <w:i/>
          <w:lang w:val="da-DK"/>
        </w:rPr>
        <w:br/>
      </w:r>
      <w:r w:rsidRPr="00C045DC">
        <w:rPr>
          <w:lang w:val="da-DK"/>
        </w:rPr>
        <w:t>Det blev igen nævnt at der i højere grad tages ejerskab og ansvar og at kvaliteten højnes betragteligt når fx rengøring udføres af organisationen selv. Modsat udlicitering af drifts</w:t>
      </w:r>
      <w:r>
        <w:rPr>
          <w:lang w:val="da-DK"/>
        </w:rPr>
        <w:t>-</w:t>
      </w:r>
      <w:r w:rsidRPr="00C045DC">
        <w:rPr>
          <w:lang w:val="da-DK"/>
        </w:rPr>
        <w:t xml:space="preserve"> og vedligeholdelsesopgaver. Det blev foreslået at ændrede udbudsregler kunne være med til at sikre en bedre hygiejnekvalitet.</w:t>
      </w:r>
    </w:p>
    <w:p w14:paraId="41747E2E" w14:textId="77777777" w:rsidR="00C045DC" w:rsidRPr="00C045DC" w:rsidRDefault="00C045DC" w:rsidP="00C045DC">
      <w:pPr>
        <w:rPr>
          <w:lang w:val="da-DK"/>
        </w:rPr>
      </w:pPr>
      <w:r w:rsidRPr="00C045DC">
        <w:rPr>
          <w:i/>
          <w:lang w:val="da-DK"/>
        </w:rPr>
        <w:t>Totaløkonomi – inkl. drift</w:t>
      </w:r>
      <w:r>
        <w:rPr>
          <w:lang w:val="da-DK"/>
        </w:rPr>
        <w:br/>
      </w:r>
      <w:r w:rsidRPr="00C045DC">
        <w:rPr>
          <w:lang w:val="da-DK"/>
        </w:rPr>
        <w:t xml:space="preserve">Det blev ligeledes anført at en større sammenhæng mellem investeringsbudgetter og drifts- og vedligeholdelsesbudgetter ville kunne understøtte at valg og prioriteringer blev foretaget i en større og totaløkonomiske betragtninger. Som eksempel at investere i rengøringsvenlige materialer og designløsninger som efterfølgende kunne understøtte </w:t>
      </w:r>
      <w:r w:rsidRPr="00C045DC">
        <w:rPr>
          <w:lang w:val="da-DK"/>
        </w:rPr>
        <w:lastRenderedPageBreak/>
        <w:t xml:space="preserve">bæredygtig levetid og lavere driftsomkostninger fx </w:t>
      </w:r>
      <w:proofErr w:type="spellStart"/>
      <w:r w:rsidRPr="00C045DC">
        <w:rPr>
          <w:lang w:val="da-DK"/>
        </w:rPr>
        <w:t>ifm</w:t>
      </w:r>
      <w:proofErr w:type="spellEnd"/>
      <w:r w:rsidRPr="00C045DC">
        <w:rPr>
          <w:lang w:val="da-DK"/>
        </w:rPr>
        <w:t>. rengøring og øvrig vedligeholdelse.</w:t>
      </w:r>
    </w:p>
    <w:p w14:paraId="2D1971AB" w14:textId="77777777" w:rsidR="00C045DC" w:rsidRPr="00C045DC" w:rsidRDefault="00C045DC" w:rsidP="00C045DC">
      <w:pPr>
        <w:rPr>
          <w:lang w:val="da-DK"/>
        </w:rPr>
      </w:pPr>
      <w:proofErr w:type="spellStart"/>
      <w:r w:rsidRPr="00C045DC">
        <w:rPr>
          <w:i/>
          <w:lang w:val="da-DK"/>
        </w:rPr>
        <w:t>Selfcare</w:t>
      </w:r>
      <w:proofErr w:type="spellEnd"/>
      <w:r>
        <w:rPr>
          <w:lang w:val="da-DK"/>
        </w:rPr>
        <w:br/>
      </w:r>
      <w:r w:rsidRPr="00C045DC">
        <w:rPr>
          <w:lang w:val="da-DK"/>
        </w:rPr>
        <w:t>Afslutningsvist kom debatten også til at handle om uddannelse og kommunikation og således vigtigheden af at fokusere på hvorledes man uddannes (helt fra barnsben) til at varetage og tænke i såvel egen- som fælles hygiejne. Som eksempel blev nævnt tandlægernes måde at understøtte ”</w:t>
      </w:r>
      <w:proofErr w:type="spellStart"/>
      <w:r w:rsidRPr="00C045DC">
        <w:rPr>
          <w:lang w:val="da-DK"/>
        </w:rPr>
        <w:t>selfcare</w:t>
      </w:r>
      <w:proofErr w:type="spellEnd"/>
      <w:r w:rsidRPr="00C045DC">
        <w:rPr>
          <w:lang w:val="da-DK"/>
        </w:rPr>
        <w:t xml:space="preserve"> begrebet” – tandhygiejne gennem ”</w:t>
      </w:r>
      <w:proofErr w:type="spellStart"/>
      <w:r w:rsidRPr="00C045DC">
        <w:rPr>
          <w:lang w:val="da-DK"/>
        </w:rPr>
        <w:t>learning</w:t>
      </w:r>
      <w:proofErr w:type="spellEnd"/>
      <w:r w:rsidRPr="00C045DC">
        <w:rPr>
          <w:lang w:val="da-DK"/>
        </w:rPr>
        <w:t xml:space="preserve"> by </w:t>
      </w:r>
      <w:proofErr w:type="spellStart"/>
      <w:r w:rsidRPr="00C045DC">
        <w:rPr>
          <w:lang w:val="da-DK"/>
        </w:rPr>
        <w:t>doing</w:t>
      </w:r>
      <w:proofErr w:type="spellEnd"/>
      <w:r w:rsidRPr="00C045DC">
        <w:rPr>
          <w:lang w:val="da-DK"/>
        </w:rPr>
        <w:t>” og opdragelse ”</w:t>
      </w:r>
      <w:proofErr w:type="spellStart"/>
      <w:r w:rsidRPr="00C045DC">
        <w:rPr>
          <w:lang w:val="da-DK"/>
        </w:rPr>
        <w:t>walk</w:t>
      </w:r>
      <w:proofErr w:type="spellEnd"/>
      <w:r w:rsidRPr="00C045DC">
        <w:rPr>
          <w:lang w:val="da-DK"/>
        </w:rPr>
        <w:t xml:space="preserve"> the talk” forældres adfærdsmønstre som kopieres af børnene.</w:t>
      </w:r>
    </w:p>
    <w:p w14:paraId="442A877C" w14:textId="77777777" w:rsidR="0027259F" w:rsidRPr="00123C14" w:rsidRDefault="0027259F" w:rsidP="0027259F">
      <w:pPr>
        <w:rPr>
          <w:lang w:val="da-DK"/>
        </w:rPr>
      </w:pPr>
    </w:p>
    <w:p w14:paraId="2E9C7C23" w14:textId="77777777" w:rsidR="0027259F" w:rsidRPr="00123C14" w:rsidRDefault="0027259F" w:rsidP="0027259F">
      <w:pPr>
        <w:rPr>
          <w:lang w:val="da-DK"/>
        </w:rPr>
      </w:pPr>
    </w:p>
    <w:p w14:paraId="44530742" w14:textId="77777777" w:rsidR="0027259F" w:rsidRPr="00123C14" w:rsidRDefault="0027259F" w:rsidP="0027259F">
      <w:pPr>
        <w:rPr>
          <w:lang w:val="da-DK"/>
        </w:rPr>
      </w:pPr>
    </w:p>
    <w:p w14:paraId="404A3FD3" w14:textId="77777777" w:rsidR="0027259F" w:rsidRPr="00123C14" w:rsidRDefault="0027259F" w:rsidP="0027259F">
      <w:pPr>
        <w:rPr>
          <w:lang w:val="da-DK"/>
        </w:rPr>
      </w:pPr>
    </w:p>
    <w:p w14:paraId="7B7F5B1D" w14:textId="77777777" w:rsidR="00C60F51" w:rsidRDefault="00D24A03"/>
    <w:sectPr w:rsidR="00C60F51" w:rsidSect="00560C74">
      <w:headerReference w:type="default" r:id="rId7"/>
      <w:pgSz w:w="11900" w:h="16840"/>
      <w:pgMar w:top="2552"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53267" w14:textId="77777777" w:rsidR="0027259F" w:rsidRDefault="0027259F">
      <w:pPr>
        <w:spacing w:after="0" w:line="240" w:lineRule="auto"/>
      </w:pPr>
      <w:r>
        <w:separator/>
      </w:r>
    </w:p>
  </w:endnote>
  <w:endnote w:type="continuationSeparator" w:id="0">
    <w:p w14:paraId="74FFBCCB" w14:textId="77777777" w:rsidR="0027259F" w:rsidRDefault="0027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6317" w14:textId="77777777" w:rsidR="0027259F" w:rsidRDefault="0027259F">
      <w:pPr>
        <w:spacing w:after="0" w:line="240" w:lineRule="auto"/>
      </w:pPr>
      <w:r>
        <w:separator/>
      </w:r>
    </w:p>
  </w:footnote>
  <w:footnote w:type="continuationSeparator" w:id="0">
    <w:p w14:paraId="7F83C3EA" w14:textId="77777777" w:rsidR="0027259F" w:rsidRDefault="002725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8E8F" w14:textId="77777777" w:rsidR="00560C74" w:rsidRDefault="00560C74" w:rsidP="00560C74">
    <w:pPr>
      <w:pStyle w:val="Sidehoved"/>
      <w:jc w:val="right"/>
    </w:pPr>
    <w:r>
      <w:rPr>
        <w:noProof/>
        <w:lang w:val="en-US"/>
      </w:rPr>
      <w:drawing>
        <wp:inline distT="0" distB="0" distL="0" distR="0" wp14:anchorId="3ADA7421" wp14:editId="69A5FB5D">
          <wp:extent cx="864000" cy="1116027"/>
          <wp:effectExtent l="25400" t="0" r="0" b="0"/>
          <wp:docPr id="1" name="Billede 0" descr="RBH - logo til 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H - logo til dokument.jpg"/>
                  <pic:cNvPicPr/>
                </pic:nvPicPr>
                <pic:blipFill>
                  <a:blip r:embed="rId1"/>
                  <a:stretch>
                    <a:fillRect/>
                  </a:stretch>
                </pic:blipFill>
                <pic:spPr>
                  <a:xfrm>
                    <a:off x="0" y="0"/>
                    <a:ext cx="864000" cy="1116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9F"/>
    <w:rsid w:val="0027259F"/>
    <w:rsid w:val="00560C74"/>
    <w:rsid w:val="00C045DC"/>
    <w:rsid w:val="00D24A0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5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9F"/>
    <w:pPr>
      <w:spacing w:after="200" w:line="276" w:lineRule="auto"/>
    </w:pPr>
    <w:rPr>
      <w:rFonts w:eastAsiaTheme="minorHAnsi"/>
      <w:sz w:val="22"/>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hovedTegn">
    <w:name w:val="Sidehoved Tegn"/>
    <w:basedOn w:val="Standardskrifttypeiafsnit"/>
    <w:link w:val="Sidehoved"/>
    <w:uiPriority w:val="99"/>
    <w:semiHidden/>
    <w:rsid w:val="00560C74"/>
    <w:rPr>
      <w:rFonts w:ascii="Garamond" w:hAnsi="Garamond" w:cs="Times New Roman"/>
      <w:szCs w:val="20"/>
      <w:lang w:eastAsia="da-DK"/>
    </w:rPr>
  </w:style>
  <w:style w:type="paragraph" w:styleId="Sidefod">
    <w:name w:val="footer"/>
    <w:basedOn w:val="Normal"/>
    <w:link w:val="Sidefo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fodTegn">
    <w:name w:val="Sidefod Tegn"/>
    <w:basedOn w:val="Standardskrifttypeiafsnit"/>
    <w:link w:val="Sidefod"/>
    <w:uiPriority w:val="99"/>
    <w:semiHidden/>
    <w:rsid w:val="00560C74"/>
    <w:rPr>
      <w:rFonts w:ascii="Garamond" w:hAnsi="Garamond" w:cs="Times New Roman"/>
      <w:szCs w:val="20"/>
      <w:lang w:eastAsia="da-DK"/>
    </w:rPr>
  </w:style>
  <w:style w:type="paragraph" w:styleId="Markeringsbobletekst">
    <w:name w:val="Balloon Text"/>
    <w:basedOn w:val="Normal"/>
    <w:link w:val="MarkeringsbobletekstTegn"/>
    <w:uiPriority w:val="99"/>
    <w:semiHidden/>
    <w:unhideWhenUsed/>
    <w:rsid w:val="0027259F"/>
    <w:pPr>
      <w:spacing w:after="0" w:line="240" w:lineRule="auto"/>
    </w:pPr>
    <w:rPr>
      <w:rFonts w:ascii="Lucida Grande" w:eastAsia="Times" w:hAnsi="Lucida Grande" w:cs="Lucida Grande"/>
      <w:sz w:val="18"/>
      <w:szCs w:val="18"/>
      <w:lang w:val="da-DK" w:eastAsia="da-DK"/>
    </w:rPr>
  </w:style>
  <w:style w:type="character" w:customStyle="1" w:styleId="MarkeringsbobletekstTegn">
    <w:name w:val="Markeringsbobletekst Tegn"/>
    <w:basedOn w:val="Standardskrifttypeiafsnit"/>
    <w:link w:val="Markeringsbobletekst"/>
    <w:uiPriority w:val="99"/>
    <w:semiHidden/>
    <w:rsid w:val="0027259F"/>
    <w:rPr>
      <w:rFonts w:ascii="Lucida Grande" w:hAnsi="Lucida Grande" w:cs="Lucida Grande"/>
      <w:sz w:val="18"/>
      <w:szCs w:val="1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9F"/>
    <w:pPr>
      <w:spacing w:after="200" w:line="276" w:lineRule="auto"/>
    </w:pPr>
    <w:rPr>
      <w:rFonts w:eastAsiaTheme="minorHAnsi"/>
      <w:sz w:val="22"/>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hovedTegn">
    <w:name w:val="Sidehoved Tegn"/>
    <w:basedOn w:val="Standardskrifttypeiafsnit"/>
    <w:link w:val="Sidehoved"/>
    <w:uiPriority w:val="99"/>
    <w:semiHidden/>
    <w:rsid w:val="00560C74"/>
    <w:rPr>
      <w:rFonts w:ascii="Garamond" w:hAnsi="Garamond" w:cs="Times New Roman"/>
      <w:szCs w:val="20"/>
      <w:lang w:eastAsia="da-DK"/>
    </w:rPr>
  </w:style>
  <w:style w:type="paragraph" w:styleId="Sidefod">
    <w:name w:val="footer"/>
    <w:basedOn w:val="Normal"/>
    <w:link w:val="SidefodTegn"/>
    <w:uiPriority w:val="99"/>
    <w:semiHidden/>
    <w:unhideWhenUsed/>
    <w:rsid w:val="00560C74"/>
    <w:pPr>
      <w:tabs>
        <w:tab w:val="center" w:pos="4819"/>
        <w:tab w:val="right" w:pos="9638"/>
      </w:tabs>
      <w:spacing w:after="0" w:line="240" w:lineRule="auto"/>
    </w:pPr>
    <w:rPr>
      <w:rFonts w:ascii="Garamond" w:eastAsia="Times" w:hAnsi="Garamond" w:cs="Times New Roman"/>
      <w:sz w:val="24"/>
      <w:szCs w:val="20"/>
      <w:lang w:val="da-DK" w:eastAsia="da-DK"/>
    </w:rPr>
  </w:style>
  <w:style w:type="character" w:customStyle="1" w:styleId="SidefodTegn">
    <w:name w:val="Sidefod Tegn"/>
    <w:basedOn w:val="Standardskrifttypeiafsnit"/>
    <w:link w:val="Sidefod"/>
    <w:uiPriority w:val="99"/>
    <w:semiHidden/>
    <w:rsid w:val="00560C74"/>
    <w:rPr>
      <w:rFonts w:ascii="Garamond" w:hAnsi="Garamond" w:cs="Times New Roman"/>
      <w:szCs w:val="20"/>
      <w:lang w:eastAsia="da-DK"/>
    </w:rPr>
  </w:style>
  <w:style w:type="paragraph" w:styleId="Markeringsbobletekst">
    <w:name w:val="Balloon Text"/>
    <w:basedOn w:val="Normal"/>
    <w:link w:val="MarkeringsbobletekstTegn"/>
    <w:uiPriority w:val="99"/>
    <w:semiHidden/>
    <w:unhideWhenUsed/>
    <w:rsid w:val="0027259F"/>
    <w:pPr>
      <w:spacing w:after="0" w:line="240" w:lineRule="auto"/>
    </w:pPr>
    <w:rPr>
      <w:rFonts w:ascii="Lucida Grande" w:eastAsia="Times" w:hAnsi="Lucida Grande" w:cs="Lucida Grande"/>
      <w:sz w:val="18"/>
      <w:szCs w:val="18"/>
      <w:lang w:val="da-DK" w:eastAsia="da-DK"/>
    </w:rPr>
  </w:style>
  <w:style w:type="character" w:customStyle="1" w:styleId="MarkeringsbobletekstTegn">
    <w:name w:val="Markeringsbobletekst Tegn"/>
    <w:basedOn w:val="Standardskrifttypeiafsnit"/>
    <w:link w:val="Markeringsbobletekst"/>
    <w:uiPriority w:val="99"/>
    <w:semiHidden/>
    <w:rsid w:val="0027259F"/>
    <w:rPr>
      <w:rFonts w:ascii="Lucida Grande" w:hAnsi="Lucida Grande" w:cs="Lucida Grande"/>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cMunter:Library:Application%20Support:Microsoft:Office:Brugerskabeloner:Mine%20skabeloner:RBHbrevpapi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RBHbrevpapir.dotx</Template>
  <TotalTime>3</TotalTime>
  <Pages>2</Pages>
  <Words>382</Words>
  <Characters>2331</Characters>
  <Application>Microsoft Macintosh Word</Application>
  <DocSecurity>0</DocSecurity>
  <Lines>19</Lines>
  <Paragraphs>5</Paragraphs>
  <ScaleCrop>false</ScaleCrop>
  <Company>Compleks Kommunikation</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Münter</dc:creator>
  <cp:keywords/>
  <cp:lastModifiedBy>Lars Münter</cp:lastModifiedBy>
  <cp:revision>3</cp:revision>
  <dcterms:created xsi:type="dcterms:W3CDTF">2017-04-23T19:17:00Z</dcterms:created>
  <dcterms:modified xsi:type="dcterms:W3CDTF">2017-04-23T19:22:00Z</dcterms:modified>
</cp:coreProperties>
</file>